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7041A9" w:rsidP="007041A9" w14:paraId="414AC7EF" w14:textId="77777777">
      <w:pPr>
        <w:spacing w:line="480" w:lineRule="auto"/>
        <w:jc w:val="center"/>
        <w:rPr>
          <w:rFonts w:ascii="Times New Roman" w:hAnsi="Times New Roman" w:cs="Times New Roman"/>
          <w:sz w:val="24"/>
          <w:szCs w:val="24"/>
        </w:rPr>
      </w:pPr>
    </w:p>
    <w:p w:rsidR="007041A9" w:rsidP="007041A9" w14:paraId="25F674D6" w14:textId="77777777">
      <w:pPr>
        <w:spacing w:line="480" w:lineRule="auto"/>
        <w:jc w:val="center"/>
        <w:rPr>
          <w:rFonts w:ascii="Times New Roman" w:hAnsi="Times New Roman" w:cs="Times New Roman"/>
          <w:sz w:val="24"/>
          <w:szCs w:val="24"/>
        </w:rPr>
      </w:pPr>
    </w:p>
    <w:p w:rsidR="007041A9" w:rsidP="007041A9" w14:paraId="73535A9C" w14:textId="77777777">
      <w:pPr>
        <w:spacing w:line="480" w:lineRule="auto"/>
        <w:jc w:val="center"/>
        <w:rPr>
          <w:rFonts w:ascii="Times New Roman" w:hAnsi="Times New Roman" w:cs="Times New Roman"/>
          <w:sz w:val="24"/>
          <w:szCs w:val="24"/>
        </w:rPr>
      </w:pPr>
    </w:p>
    <w:p w:rsidR="007041A9" w:rsidP="007041A9" w14:paraId="169D8EC0" w14:textId="77777777">
      <w:pPr>
        <w:spacing w:line="480" w:lineRule="auto"/>
        <w:jc w:val="center"/>
        <w:rPr>
          <w:rFonts w:ascii="Times New Roman" w:hAnsi="Times New Roman" w:cs="Times New Roman"/>
          <w:sz w:val="24"/>
          <w:szCs w:val="24"/>
        </w:rPr>
      </w:pPr>
    </w:p>
    <w:p w:rsidR="007041A9" w:rsidP="007041A9" w14:paraId="75E07F95" w14:textId="66356BD6">
      <w:pPr>
        <w:spacing w:line="480" w:lineRule="auto"/>
        <w:jc w:val="center"/>
        <w:rPr>
          <w:rFonts w:ascii="Times New Roman" w:hAnsi="Times New Roman" w:cs="Times New Roman"/>
          <w:sz w:val="24"/>
          <w:szCs w:val="24"/>
        </w:rPr>
      </w:pPr>
      <w:r w:rsidRPr="007041A9">
        <w:rPr>
          <w:rFonts w:ascii="Times New Roman" w:hAnsi="Times New Roman" w:cs="Times New Roman"/>
          <w:sz w:val="24"/>
          <w:szCs w:val="24"/>
        </w:rPr>
        <w:t>Supreme Court Landmark Cases</w:t>
      </w:r>
    </w:p>
    <w:p w:rsidR="007041A9" w:rsidP="007041A9" w14:paraId="2A76D213" w14:textId="7EFFB98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7041A9" w:rsidP="007041A9" w14:paraId="337D9004" w14:textId="65EF1072">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Instructor’s Name</w:t>
      </w:r>
    </w:p>
    <w:p w:rsidR="007041A9" w:rsidP="007041A9" w14:paraId="1F56D5F5" w14:textId="21C2E6CE">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7041A9" w:rsidP="007041A9" w14:paraId="3DAAD4E0" w14:textId="77777777">
      <w:pPr>
        <w:spacing w:line="480" w:lineRule="auto"/>
        <w:rPr>
          <w:rFonts w:ascii="Times New Roman" w:hAnsi="Times New Roman" w:cs="Times New Roman"/>
          <w:sz w:val="24"/>
          <w:szCs w:val="24"/>
        </w:rPr>
      </w:pPr>
    </w:p>
    <w:p w:rsidR="007041A9" w:rsidP="007041A9" w14:paraId="14530456" w14:textId="77777777">
      <w:pPr>
        <w:spacing w:line="480" w:lineRule="auto"/>
        <w:rPr>
          <w:rFonts w:ascii="Times New Roman" w:hAnsi="Times New Roman" w:cs="Times New Roman"/>
          <w:sz w:val="24"/>
          <w:szCs w:val="24"/>
        </w:rPr>
      </w:pPr>
    </w:p>
    <w:p w:rsidR="007041A9" w:rsidP="007041A9" w14:paraId="7D104D09" w14:textId="77777777">
      <w:pPr>
        <w:spacing w:line="480" w:lineRule="auto"/>
        <w:rPr>
          <w:rFonts w:ascii="Times New Roman" w:hAnsi="Times New Roman" w:cs="Times New Roman"/>
          <w:sz w:val="24"/>
          <w:szCs w:val="24"/>
        </w:rPr>
      </w:pPr>
    </w:p>
    <w:p w:rsidR="007041A9" w:rsidP="007041A9" w14:paraId="3D30E94A" w14:textId="77777777">
      <w:pPr>
        <w:spacing w:line="480" w:lineRule="auto"/>
        <w:rPr>
          <w:rFonts w:ascii="Times New Roman" w:hAnsi="Times New Roman" w:cs="Times New Roman"/>
          <w:sz w:val="24"/>
          <w:szCs w:val="24"/>
        </w:rPr>
      </w:pPr>
    </w:p>
    <w:p w:rsidR="007041A9" w:rsidP="007041A9" w14:paraId="7E683191" w14:textId="77777777">
      <w:pPr>
        <w:spacing w:line="480" w:lineRule="auto"/>
        <w:rPr>
          <w:rFonts w:ascii="Times New Roman" w:hAnsi="Times New Roman" w:cs="Times New Roman"/>
          <w:sz w:val="24"/>
          <w:szCs w:val="24"/>
        </w:rPr>
      </w:pPr>
    </w:p>
    <w:p w:rsidR="007041A9" w:rsidP="007041A9" w14:paraId="57BFE75E" w14:textId="77777777">
      <w:pPr>
        <w:spacing w:line="480" w:lineRule="auto"/>
        <w:rPr>
          <w:rFonts w:ascii="Times New Roman" w:hAnsi="Times New Roman" w:cs="Times New Roman"/>
          <w:sz w:val="24"/>
          <w:szCs w:val="24"/>
        </w:rPr>
      </w:pPr>
    </w:p>
    <w:p w:rsidR="007041A9" w:rsidP="003316B1" w14:paraId="75BE0F6A" w14:textId="77777777">
      <w:pPr>
        <w:spacing w:line="480" w:lineRule="auto"/>
        <w:rPr>
          <w:rFonts w:ascii="Times New Roman" w:hAnsi="Times New Roman" w:cs="Times New Roman"/>
          <w:sz w:val="24"/>
          <w:szCs w:val="24"/>
        </w:rPr>
      </w:pPr>
    </w:p>
    <w:p w:rsidR="003316B1" w14:paraId="44DE46ED" w14:textId="77777777">
      <w:pPr>
        <w:rPr>
          <w:rFonts w:ascii="Times New Roman" w:hAnsi="Times New Roman" w:cs="Times New Roman"/>
          <w:sz w:val="24"/>
          <w:szCs w:val="24"/>
        </w:rPr>
      </w:pPr>
      <w:r>
        <w:rPr>
          <w:rFonts w:ascii="Times New Roman" w:hAnsi="Times New Roman" w:cs="Times New Roman"/>
          <w:sz w:val="24"/>
          <w:szCs w:val="24"/>
        </w:rPr>
        <w:br w:type="page"/>
      </w:r>
    </w:p>
    <w:p w:rsidR="007041A9" w:rsidP="003316B1" w14:paraId="4F0B5DA4" w14:textId="28A108E0">
      <w:pPr>
        <w:spacing w:line="480" w:lineRule="auto"/>
        <w:jc w:val="center"/>
        <w:rPr>
          <w:rFonts w:ascii="Times New Roman" w:hAnsi="Times New Roman" w:cs="Times New Roman"/>
          <w:sz w:val="24"/>
          <w:szCs w:val="24"/>
        </w:rPr>
      </w:pPr>
      <w:r w:rsidRPr="007041A9">
        <w:rPr>
          <w:rFonts w:ascii="Times New Roman" w:hAnsi="Times New Roman" w:cs="Times New Roman"/>
          <w:sz w:val="24"/>
          <w:szCs w:val="24"/>
        </w:rPr>
        <w:t>Supreme Court Landmark Case</w:t>
      </w:r>
      <w:r>
        <w:rPr>
          <w:rFonts w:ascii="Times New Roman" w:hAnsi="Times New Roman" w:cs="Times New Roman"/>
          <w:sz w:val="24"/>
          <w:szCs w:val="24"/>
        </w:rPr>
        <w:t>s</w:t>
      </w:r>
    </w:p>
    <w:p w:rsidR="007041A9" w:rsidRPr="007041A9" w:rsidP="007041A9" w14:paraId="524E3F8B" w14:textId="702B76B8">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Landmark cases refer to cases that are studied because they have legal as well as historical significance in the United States of America. In the history of the US, the most famous cases are those that have had a lasting impact on the establishment of particular laws, more so pertaining to individual rights and liberties. The US has had several cases that have significantly led to the growth of the country in different measures. As much as all the cases were important to the people of the US, according to my opinion, the most important case would be that of Miranda V. Arizona. This case is the most crucial to law enforcement because it issued an affirmative action on the section of police with an intention to perform custodial inquiries to warn an individual who is accused about his right to remain soundless as well as a right to counsel during interrogations far wider than it had ever occurred prior to the decision</w:t>
      </w:r>
      <w:r w:rsidR="001B5443">
        <w:rPr>
          <w:rFonts w:ascii="Times New Roman" w:hAnsi="Times New Roman" w:cs="Times New Roman"/>
          <w:sz w:val="24"/>
          <w:szCs w:val="24"/>
        </w:rPr>
        <w:t xml:space="preserve"> of the court</w:t>
      </w:r>
      <w:r w:rsidRPr="007041A9">
        <w:rPr>
          <w:rFonts w:ascii="Times New Roman" w:hAnsi="Times New Roman" w:cs="Times New Roman"/>
          <w:sz w:val="24"/>
          <w:szCs w:val="24"/>
        </w:rPr>
        <w:t xml:space="preserve">. </w:t>
      </w:r>
    </w:p>
    <w:p w:rsidR="007041A9" w:rsidRPr="007041A9" w:rsidP="007041A9" w14:paraId="1EE894DD" w14:textId="0FC0A7FE">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The holding of the decision issued in the Miranda case can be perceived as an extension of the do</w:t>
      </w:r>
      <w:r w:rsidR="003316B1">
        <w:rPr>
          <w:rFonts w:ascii="Times New Roman" w:hAnsi="Times New Roman" w:cs="Times New Roman"/>
          <w:sz w:val="24"/>
          <w:szCs w:val="24"/>
        </w:rPr>
        <w:t xml:space="preserve">ctrine of voluntariness. </w:t>
      </w:r>
      <w:r w:rsidR="003316B1">
        <w:rPr>
          <w:rFonts w:ascii="Times New Roman" w:hAnsi="Times New Roman" w:cs="Times New Roman"/>
          <w:sz w:val="24"/>
          <w:szCs w:val="24"/>
        </w:rPr>
        <w:t>Maclin</w:t>
      </w:r>
      <w:r w:rsidRPr="007041A9">
        <w:rPr>
          <w:rFonts w:ascii="Times New Roman" w:hAnsi="Times New Roman" w:cs="Times New Roman"/>
          <w:sz w:val="24"/>
          <w:szCs w:val="24"/>
        </w:rPr>
        <w:t xml:space="preserve"> (2015) argues that the criticality in various sections of the decision broaden the right to advise to custodial interrogations which dictate that the suspect found in such an environment be notified of his fundamental rights and need an affirmative release before questioning can take effect. The Miranda case made it possible for the court to recognize the importance of the right of a defendant to have the advice of an attorney during interrogation and the desire of representation by a lawyer at the interrogation (Ley &amp; </w:t>
      </w:r>
      <w:r w:rsidRPr="007041A9">
        <w:rPr>
          <w:rFonts w:ascii="Times New Roman" w:hAnsi="Times New Roman" w:cs="Times New Roman"/>
          <w:sz w:val="24"/>
          <w:szCs w:val="24"/>
        </w:rPr>
        <w:t>Verhovek</w:t>
      </w:r>
      <w:r w:rsidRPr="007041A9">
        <w:rPr>
          <w:rFonts w:ascii="Times New Roman" w:hAnsi="Times New Roman" w:cs="Times New Roman"/>
          <w:sz w:val="24"/>
          <w:szCs w:val="24"/>
        </w:rPr>
        <w:t>, 2014). At the time of deciding the case, the court encountered the controversy of equal protection. The affluent members of the society would receive substantial information concerning their right to remain silent at interrogations, have tactical advice, assistance, and psychological support from their attorneys which made the court to see it as vital</w:t>
      </w:r>
      <w:r w:rsidR="001B5443">
        <w:rPr>
          <w:rFonts w:ascii="Times New Roman" w:hAnsi="Times New Roman" w:cs="Times New Roman"/>
          <w:sz w:val="24"/>
          <w:szCs w:val="24"/>
        </w:rPr>
        <w:t xml:space="preserve"> to</w:t>
      </w:r>
      <w:r w:rsidRPr="007041A9">
        <w:rPr>
          <w:rFonts w:ascii="Times New Roman" w:hAnsi="Times New Roman" w:cs="Times New Roman"/>
          <w:sz w:val="24"/>
          <w:szCs w:val="24"/>
        </w:rPr>
        <w:t xml:space="preserve"> subdue the powerful station house environment. However, for the suspects who were extremely poor to </w:t>
      </w:r>
      <w:r w:rsidRPr="007041A9">
        <w:rPr>
          <w:rFonts w:ascii="Times New Roman" w:hAnsi="Times New Roman" w:cs="Times New Roman"/>
          <w:sz w:val="24"/>
          <w:szCs w:val="24"/>
        </w:rPr>
        <w:t>afford a counsel would severely be mishandled by being subjected to unreasonable questioning, putting them invulnerable as well as dangerous positions. 
</w:t>
      </w:r>
    </w:p>
    <w:p w:rsidR="007041A9" w:rsidRPr="007041A9" w:rsidP="007041A9" w14:paraId="5BA392D6" w14:textId="092A8658">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Consequentially, encountered with duality in the outcome based on economic elements, the court opted not to regard the availability of counsel on the advantage of the wealthy suspects as a lucky complimentary help but instead an elementary dilemma which was prone to being resolved on the principle that all suspects are granted the right to counsel irrespective of indigency. Therefore, the Miranda case is important due to its affirmative broadening of the suspect’s right to counsel regardless of indigency as long as the suspects are at the custodial interrogat</w:t>
      </w:r>
      <w:r w:rsidR="003316B1">
        <w:rPr>
          <w:rFonts w:ascii="Times New Roman" w:hAnsi="Times New Roman" w:cs="Times New Roman"/>
          <w:sz w:val="24"/>
          <w:szCs w:val="24"/>
        </w:rPr>
        <w:t>ion. According to Rogers et al.</w:t>
      </w:r>
      <w:r w:rsidRPr="007041A9">
        <w:rPr>
          <w:rFonts w:ascii="Times New Roman" w:hAnsi="Times New Roman" w:cs="Times New Roman"/>
          <w:sz w:val="24"/>
          <w:szCs w:val="24"/>
        </w:rPr>
        <w:t xml:space="preserve"> (2012)</w:t>
      </w:r>
      <w:r w:rsidR="003316B1">
        <w:rPr>
          <w:rFonts w:ascii="Times New Roman" w:hAnsi="Times New Roman" w:cs="Times New Roman"/>
          <w:sz w:val="24"/>
          <w:szCs w:val="24"/>
        </w:rPr>
        <w:t>,</w:t>
      </w:r>
      <w:r w:rsidRPr="007041A9">
        <w:rPr>
          <w:rFonts w:ascii="Times New Roman" w:hAnsi="Times New Roman" w:cs="Times New Roman"/>
          <w:sz w:val="24"/>
          <w:szCs w:val="24"/>
        </w:rPr>
        <w:t xml:space="preserve"> the Miranda warnings execute the right against self-incrimination by having suspects informed about the existence of the case as well the suspect being presented with counsel to assist the defendant irrespective of his poverty level. </w:t>
      </w:r>
    </w:p>
    <w:p w:rsidR="007041A9" w:rsidP="007041A9" w14:paraId="23E208E4" w14:textId="399FE787">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 xml:space="preserve">I believe the supreme court would not rule the three cases the same way, because there are new requirements of the court’s constitutional code of policies for confessions. The first requirement, upon which admissibility by a defendant is </w:t>
      </w:r>
      <w:r w:rsidRPr="007041A9">
        <w:rPr>
          <w:rFonts w:ascii="Times New Roman" w:hAnsi="Times New Roman" w:cs="Times New Roman"/>
          <w:sz w:val="24"/>
          <w:szCs w:val="24"/>
        </w:rPr>
        <w:t>depended</w:t>
      </w:r>
      <w:r w:rsidRPr="007041A9">
        <w:rPr>
          <w:rFonts w:ascii="Times New Roman" w:hAnsi="Times New Roman" w:cs="Times New Roman"/>
          <w:sz w:val="24"/>
          <w:szCs w:val="24"/>
        </w:rPr>
        <w:t xml:space="preserve"> is that a fourfold warning should be provided to the defendant in custody before being presented for questioning (</w:t>
      </w:r>
      <w:r w:rsidRPr="007041A9">
        <w:rPr>
          <w:rFonts w:ascii="Times New Roman" w:hAnsi="Times New Roman" w:cs="Times New Roman"/>
          <w:sz w:val="24"/>
          <w:szCs w:val="24"/>
        </w:rPr>
        <w:t>Domanico</w:t>
      </w:r>
      <w:r w:rsidRPr="007041A9">
        <w:rPr>
          <w:rFonts w:ascii="Times New Roman" w:hAnsi="Times New Roman" w:cs="Times New Roman"/>
          <w:sz w:val="24"/>
          <w:szCs w:val="24"/>
        </w:rPr>
        <w:t xml:space="preserve"> et al.,</w:t>
      </w:r>
      <w:r w:rsidR="003316B1">
        <w:rPr>
          <w:rFonts w:ascii="Times New Roman" w:hAnsi="Times New Roman" w:cs="Times New Roman"/>
          <w:sz w:val="24"/>
          <w:szCs w:val="24"/>
        </w:rPr>
        <w:t xml:space="preserve"> </w:t>
      </w:r>
      <w:r w:rsidRPr="007041A9">
        <w:rPr>
          <w:rFonts w:ascii="Times New Roman" w:hAnsi="Times New Roman" w:cs="Times New Roman"/>
          <w:sz w:val="24"/>
          <w:szCs w:val="24"/>
        </w:rPr>
        <w:t>2012). The modem constitutional code of rules for confession req</w:t>
      </w:r>
      <w:r w:rsidR="00AE23C3">
        <w:rPr>
          <w:rFonts w:ascii="Times New Roman" w:hAnsi="Times New Roman" w:cs="Times New Roman"/>
          <w:sz w:val="24"/>
          <w:szCs w:val="24"/>
        </w:rPr>
        <w:t>uires that a suspect has an obligation to keep mouth shut</w:t>
      </w:r>
      <w:r w:rsidRPr="007041A9">
        <w:rPr>
          <w:rFonts w:ascii="Times New Roman" w:hAnsi="Times New Roman" w:cs="Times New Roman"/>
          <w:sz w:val="24"/>
          <w:szCs w:val="24"/>
        </w:rPr>
        <w:t>, that whatever</w:t>
      </w:r>
      <w:r w:rsidR="00AE23C3">
        <w:rPr>
          <w:rFonts w:ascii="Times New Roman" w:hAnsi="Times New Roman" w:cs="Times New Roman"/>
          <w:sz w:val="24"/>
          <w:szCs w:val="24"/>
        </w:rPr>
        <w:t xml:space="preserve"> statement he utters may be taken as evidence to prosecute them</w:t>
      </w:r>
      <w:bookmarkStart w:id="0" w:name="_GoBack"/>
      <w:bookmarkEnd w:id="0"/>
      <w:r w:rsidRPr="007041A9">
        <w:rPr>
          <w:rFonts w:ascii="Times New Roman" w:hAnsi="Times New Roman" w:cs="Times New Roman"/>
          <w:sz w:val="24"/>
          <w:szCs w:val="24"/>
        </w:rPr>
        <w:t>, that the suspect must be given an attorney and if indigent he must be presented with an attorney at zero cost.</w:t>
      </w:r>
    </w:p>
    <w:p w:rsidR="007041A9" w:rsidRPr="007041A9" w:rsidP="001B5443" w14:paraId="4D98F83E" w14:textId="0E4F62F2">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 xml:space="preserve"> To overturn these rights, some affirmative terms of denial is needed and tricks, threats or cajoling’s to get access to this waiver are prohibited. If before or at the time of interrogation the suspect chooses to invoke his right remain soundless, questioning must stop and request for a lawyer creates the same concerns until an attorney is procured for the defendant. Additionally, </w:t>
      </w:r>
      <w:r w:rsidRPr="007041A9">
        <w:rPr>
          <w:rFonts w:ascii="Times New Roman" w:hAnsi="Times New Roman" w:cs="Times New Roman"/>
          <w:sz w:val="24"/>
          <w:szCs w:val="24"/>
        </w:rPr>
        <w:t>the court would not rule the same for the three cases since currently there exists some miscellany of small directives, for instance, the encumbrance of proof of waiver is left for the state, exculpatory and admission statements are today being treated as confessions.</w:t>
      </w:r>
      <w:r w:rsidR="001B5443">
        <w:rPr>
          <w:rFonts w:ascii="Times New Roman" w:hAnsi="Times New Roman" w:cs="Times New Roman"/>
          <w:sz w:val="24"/>
          <w:szCs w:val="24"/>
        </w:rPr>
        <w:t xml:space="preserve"> </w:t>
      </w:r>
      <w:r w:rsidRPr="007041A9">
        <w:rPr>
          <w:rFonts w:ascii="Times New Roman" w:hAnsi="Times New Roman" w:cs="Times New Roman"/>
          <w:sz w:val="24"/>
          <w:szCs w:val="24"/>
        </w:rPr>
        <w:t xml:space="preserve">Furthermore, today, the supreme court allows the withdrawal of a waiver. </w:t>
      </w:r>
    </w:p>
    <w:p w:rsidR="007041A9" w:rsidRPr="007041A9" w:rsidP="007041A9" w14:paraId="1BBE9D2F" w14:textId="52FB9B5F">
      <w:pPr>
        <w:spacing w:line="480" w:lineRule="auto"/>
        <w:ind w:firstLine="720"/>
        <w:rPr>
          <w:rFonts w:ascii="Times New Roman" w:hAnsi="Times New Roman" w:cs="Times New Roman"/>
          <w:sz w:val="24"/>
          <w:szCs w:val="24"/>
        </w:rPr>
      </w:pPr>
      <w:r w:rsidRPr="007041A9">
        <w:rPr>
          <w:rFonts w:ascii="Times New Roman" w:hAnsi="Times New Roman" w:cs="Times New Roman"/>
          <w:sz w:val="24"/>
          <w:szCs w:val="24"/>
        </w:rPr>
        <w:t>When evaluated as the ultimate presentation of public policy, the new regime of the court proves some ambiguity that there is no compensation scheduled for the considerable weakness present in the constitutiona</w:t>
      </w:r>
      <w:r w:rsidR="003316B1">
        <w:rPr>
          <w:rFonts w:ascii="Times New Roman" w:hAnsi="Times New Roman" w:cs="Times New Roman"/>
          <w:sz w:val="24"/>
          <w:szCs w:val="24"/>
        </w:rPr>
        <w:t xml:space="preserve">l limitations. </w:t>
      </w:r>
      <w:r w:rsidR="003316B1">
        <w:rPr>
          <w:rFonts w:ascii="Times New Roman" w:hAnsi="Times New Roman" w:cs="Times New Roman"/>
          <w:sz w:val="24"/>
          <w:szCs w:val="24"/>
        </w:rPr>
        <w:t>Levick</w:t>
      </w:r>
      <w:r w:rsidR="003316B1">
        <w:rPr>
          <w:rFonts w:ascii="Times New Roman" w:hAnsi="Times New Roman" w:cs="Times New Roman"/>
          <w:sz w:val="24"/>
          <w:szCs w:val="24"/>
        </w:rPr>
        <w:t xml:space="preserve"> &amp; Tierney</w:t>
      </w:r>
      <w:r w:rsidRPr="007041A9">
        <w:rPr>
          <w:rFonts w:ascii="Times New Roman" w:hAnsi="Times New Roman" w:cs="Times New Roman"/>
          <w:sz w:val="24"/>
          <w:szCs w:val="24"/>
        </w:rPr>
        <w:t xml:space="preserve"> (2012) asserts that without subscribing to overall police officer’s black picture which is usually painted by the court, I think it should be openly acknowledged from the onset that custodial interrogation permissible as per the due process common law may essentially encompass some coercion on the suspect</w:t>
      </w:r>
      <w:r w:rsidR="001B5443">
        <w:rPr>
          <w:rFonts w:ascii="Times New Roman" w:hAnsi="Times New Roman" w:cs="Times New Roman"/>
          <w:sz w:val="24"/>
          <w:szCs w:val="24"/>
        </w:rPr>
        <w:t xml:space="preserve">. This is reasonable because the police officer </w:t>
      </w:r>
      <w:r w:rsidRPr="007041A9">
        <w:rPr>
          <w:rFonts w:ascii="Times New Roman" w:hAnsi="Times New Roman" w:cs="Times New Roman"/>
          <w:sz w:val="24"/>
          <w:szCs w:val="24"/>
        </w:rPr>
        <w:t xml:space="preserve">may find advantage in the weakness or ignorance of the defendant. The questioning and the atmosphere approaches fair and proper though they may appear in themselves </w:t>
      </w:r>
      <w:r w:rsidR="001B5443">
        <w:rPr>
          <w:rFonts w:ascii="Times New Roman" w:hAnsi="Times New Roman" w:cs="Times New Roman"/>
          <w:sz w:val="24"/>
          <w:szCs w:val="24"/>
        </w:rPr>
        <w:t xml:space="preserve">to </w:t>
      </w:r>
      <w:r w:rsidRPr="007041A9">
        <w:rPr>
          <w:rFonts w:ascii="Times New Roman" w:hAnsi="Times New Roman" w:cs="Times New Roman"/>
          <w:sz w:val="24"/>
          <w:szCs w:val="24"/>
        </w:rPr>
        <w:t xml:space="preserve">drive the defendant to confess. </w:t>
      </w:r>
    </w:p>
    <w:p w:rsidR="007041A9" w:rsidRPr="007041A9" w:rsidP="007041A9" w14:paraId="0868878E" w14:textId="77777777">
      <w:pPr>
        <w:spacing w:line="480" w:lineRule="auto"/>
        <w:rPr>
          <w:rFonts w:ascii="Times New Roman" w:hAnsi="Times New Roman" w:cs="Times New Roman"/>
          <w:sz w:val="24"/>
          <w:szCs w:val="24"/>
        </w:rPr>
      </w:pPr>
    </w:p>
    <w:p w:rsidR="007041A9" w:rsidRPr="007041A9" w:rsidP="007041A9" w14:paraId="7E557D47" w14:textId="77777777">
      <w:pPr>
        <w:spacing w:line="480" w:lineRule="auto"/>
        <w:rPr>
          <w:rFonts w:ascii="Times New Roman" w:hAnsi="Times New Roman" w:cs="Times New Roman"/>
          <w:sz w:val="24"/>
          <w:szCs w:val="24"/>
        </w:rPr>
      </w:pPr>
    </w:p>
    <w:p w:rsidR="007041A9" w:rsidRPr="007041A9" w:rsidP="007041A9" w14:paraId="04F934AF" w14:textId="77777777">
      <w:pPr>
        <w:spacing w:line="480" w:lineRule="auto"/>
        <w:rPr>
          <w:rFonts w:ascii="Times New Roman" w:hAnsi="Times New Roman" w:cs="Times New Roman"/>
          <w:sz w:val="24"/>
          <w:szCs w:val="24"/>
        </w:rPr>
      </w:pPr>
    </w:p>
    <w:p w:rsidR="007041A9" w:rsidP="007041A9" w14:paraId="6D996401" w14:textId="77777777">
      <w:pPr>
        <w:spacing w:line="480" w:lineRule="auto"/>
        <w:jc w:val="center"/>
        <w:rPr>
          <w:rFonts w:ascii="Times New Roman" w:hAnsi="Times New Roman" w:cs="Times New Roman"/>
          <w:sz w:val="24"/>
          <w:szCs w:val="24"/>
        </w:rPr>
      </w:pPr>
    </w:p>
    <w:p w:rsidR="007041A9" w:rsidP="003316B1" w14:paraId="36B031D6" w14:textId="77777777">
      <w:pPr>
        <w:spacing w:line="480" w:lineRule="auto"/>
        <w:rPr>
          <w:rFonts w:ascii="Times New Roman" w:hAnsi="Times New Roman" w:cs="Times New Roman"/>
          <w:sz w:val="24"/>
          <w:szCs w:val="24"/>
        </w:rPr>
      </w:pPr>
    </w:p>
    <w:p w:rsidR="003316B1" w14:paraId="6E42E6AF" w14:textId="77777777">
      <w:pPr>
        <w:rPr>
          <w:rFonts w:ascii="Times New Roman" w:hAnsi="Times New Roman" w:cs="Times New Roman"/>
          <w:sz w:val="24"/>
          <w:szCs w:val="24"/>
        </w:rPr>
      </w:pPr>
      <w:r>
        <w:rPr>
          <w:rFonts w:ascii="Times New Roman" w:hAnsi="Times New Roman" w:cs="Times New Roman"/>
          <w:sz w:val="24"/>
          <w:szCs w:val="24"/>
        </w:rPr>
        <w:br w:type="page"/>
      </w:r>
    </w:p>
    <w:p w:rsidR="007041A9" w:rsidRPr="003316B1" w:rsidP="003316B1" w14:paraId="232F1711" w14:textId="380D38A5">
      <w:pPr>
        <w:spacing w:line="480" w:lineRule="auto"/>
        <w:jc w:val="center"/>
        <w:rPr>
          <w:rFonts w:ascii="Times New Roman" w:hAnsi="Times New Roman" w:cs="Times New Roman"/>
          <w:sz w:val="24"/>
          <w:szCs w:val="24"/>
        </w:rPr>
      </w:pPr>
      <w:r w:rsidRPr="007041A9">
        <w:rPr>
          <w:rFonts w:ascii="Times New Roman" w:hAnsi="Times New Roman" w:cs="Times New Roman"/>
          <w:sz w:val="24"/>
          <w:szCs w:val="24"/>
        </w:rPr>
        <w:t>Reference</w:t>
      </w:r>
      <w:r w:rsidR="003316B1">
        <w:rPr>
          <w:rFonts w:ascii="Times New Roman" w:hAnsi="Times New Roman" w:cs="Times New Roman"/>
          <w:sz w:val="24"/>
          <w:szCs w:val="24"/>
        </w:rPr>
        <w:t>s</w:t>
      </w:r>
    </w:p>
    <w:p w:rsidR="007041A9" w:rsidRPr="007041A9" w:rsidP="007041A9" w14:paraId="6094ACB5" w14:textId="77777777">
      <w:pPr>
        <w:spacing w:line="480" w:lineRule="auto"/>
        <w:ind w:left="720" w:hanging="720"/>
        <w:rPr>
          <w:rFonts w:ascii="Times New Roman" w:hAnsi="Times New Roman" w:cs="Times New Roman"/>
          <w:color w:val="222222"/>
          <w:sz w:val="24"/>
          <w:szCs w:val="24"/>
          <w:shd w:val="clear" w:color="auto" w:fill="FFFFFF"/>
        </w:rPr>
      </w:pPr>
      <w:r w:rsidRPr="007041A9">
        <w:rPr>
          <w:rFonts w:ascii="Times New Roman" w:hAnsi="Times New Roman" w:cs="Times New Roman"/>
          <w:color w:val="222222"/>
          <w:sz w:val="24"/>
          <w:szCs w:val="24"/>
          <w:shd w:val="clear" w:color="auto" w:fill="FFFFFF"/>
        </w:rPr>
        <w:t>Domanico</w:t>
      </w:r>
      <w:r w:rsidRPr="007041A9">
        <w:rPr>
          <w:rFonts w:ascii="Times New Roman" w:hAnsi="Times New Roman" w:cs="Times New Roman"/>
          <w:color w:val="222222"/>
          <w:sz w:val="24"/>
          <w:szCs w:val="24"/>
          <w:shd w:val="clear" w:color="auto" w:fill="FFFFFF"/>
        </w:rPr>
        <w:t xml:space="preserve">, A. J., </w:t>
      </w:r>
      <w:r w:rsidRPr="007041A9">
        <w:rPr>
          <w:rFonts w:ascii="Times New Roman" w:hAnsi="Times New Roman" w:cs="Times New Roman"/>
          <w:color w:val="222222"/>
          <w:sz w:val="24"/>
          <w:szCs w:val="24"/>
          <w:shd w:val="clear" w:color="auto" w:fill="FFFFFF"/>
        </w:rPr>
        <w:t>Cicchini</w:t>
      </w:r>
      <w:r w:rsidRPr="007041A9">
        <w:rPr>
          <w:rFonts w:ascii="Times New Roman" w:hAnsi="Times New Roman" w:cs="Times New Roman"/>
          <w:color w:val="222222"/>
          <w:sz w:val="24"/>
          <w:szCs w:val="24"/>
          <w:shd w:val="clear" w:color="auto" w:fill="FFFFFF"/>
        </w:rPr>
        <w:t>, M. D., &amp; White, L. T. (2012).</w:t>
      </w:r>
      <w:r w:rsidRPr="007041A9">
        <w:rPr>
          <w:rFonts w:ascii="Times New Roman" w:hAnsi="Times New Roman" w:cs="Times New Roman"/>
          <w:color w:val="222222"/>
          <w:sz w:val="24"/>
          <w:szCs w:val="24"/>
          <w:shd w:val="clear" w:color="auto" w:fill="FFFFFF"/>
        </w:rPr>
        <w:t xml:space="preserve"> Overcoming Miranda: A content analysis of the Miranda portion of police interrogations. </w:t>
      </w:r>
      <w:r w:rsidRPr="007041A9">
        <w:rPr>
          <w:rFonts w:ascii="Times New Roman" w:hAnsi="Times New Roman" w:cs="Times New Roman"/>
          <w:i/>
          <w:iCs/>
          <w:color w:val="222222"/>
          <w:sz w:val="24"/>
          <w:szCs w:val="24"/>
          <w:shd w:val="clear" w:color="auto" w:fill="FFFFFF"/>
        </w:rPr>
        <w:t>Idaho L. Rev.</w:t>
      </w:r>
      <w:r w:rsidRPr="007041A9">
        <w:rPr>
          <w:rFonts w:ascii="Times New Roman" w:hAnsi="Times New Roman" w:cs="Times New Roman"/>
          <w:color w:val="222222"/>
          <w:sz w:val="24"/>
          <w:szCs w:val="24"/>
          <w:shd w:val="clear" w:color="auto" w:fill="FFFFFF"/>
        </w:rPr>
        <w:t>, </w:t>
      </w:r>
      <w:r w:rsidRPr="007041A9">
        <w:rPr>
          <w:rFonts w:ascii="Times New Roman" w:hAnsi="Times New Roman" w:cs="Times New Roman"/>
          <w:i/>
          <w:iCs/>
          <w:color w:val="222222"/>
          <w:sz w:val="24"/>
          <w:szCs w:val="24"/>
          <w:shd w:val="clear" w:color="auto" w:fill="FFFFFF"/>
        </w:rPr>
        <w:t>49</w:t>
      </w:r>
      <w:r w:rsidRPr="007041A9">
        <w:rPr>
          <w:rFonts w:ascii="Times New Roman" w:hAnsi="Times New Roman" w:cs="Times New Roman"/>
          <w:color w:val="222222"/>
          <w:sz w:val="24"/>
          <w:szCs w:val="24"/>
          <w:shd w:val="clear" w:color="auto" w:fill="FFFFFF"/>
        </w:rPr>
        <w:t>, i.</w:t>
      </w:r>
    </w:p>
    <w:p w:rsidR="007041A9" w:rsidRPr="007041A9" w:rsidP="007041A9" w14:paraId="42B28B2C" w14:textId="77777777">
      <w:pPr>
        <w:spacing w:line="480" w:lineRule="auto"/>
        <w:ind w:left="720" w:hanging="720"/>
        <w:rPr>
          <w:rFonts w:ascii="Times New Roman" w:hAnsi="Times New Roman" w:cs="Times New Roman"/>
          <w:sz w:val="24"/>
          <w:szCs w:val="24"/>
        </w:rPr>
      </w:pPr>
      <w:r w:rsidRPr="007041A9">
        <w:rPr>
          <w:rFonts w:ascii="Times New Roman" w:hAnsi="Times New Roman" w:cs="Times New Roman"/>
          <w:color w:val="222222"/>
          <w:sz w:val="24"/>
          <w:szCs w:val="24"/>
          <w:shd w:val="clear" w:color="auto" w:fill="FFFFFF"/>
        </w:rPr>
        <w:t>Levick</w:t>
      </w:r>
      <w:r w:rsidRPr="007041A9">
        <w:rPr>
          <w:rFonts w:ascii="Times New Roman" w:hAnsi="Times New Roman" w:cs="Times New Roman"/>
          <w:color w:val="222222"/>
          <w:sz w:val="24"/>
          <w:szCs w:val="24"/>
          <w:shd w:val="clear" w:color="auto" w:fill="FFFFFF"/>
        </w:rPr>
        <w:t>, M. L., &amp; Tierney, E. A. (2012). United States Supreme Court Adopts a Reasonable Juvenile Standard in JDB v. North Carolina for Purposes of the Miranda Custody Analysis: Can a More Reasoned Justice System for Juveniles Be Far Behind. </w:t>
      </w:r>
      <w:r w:rsidRPr="007041A9">
        <w:rPr>
          <w:rFonts w:ascii="Times New Roman" w:hAnsi="Times New Roman" w:cs="Times New Roman"/>
          <w:i/>
          <w:iCs/>
          <w:color w:val="222222"/>
          <w:sz w:val="24"/>
          <w:szCs w:val="24"/>
          <w:shd w:val="clear" w:color="auto" w:fill="FFFFFF"/>
        </w:rPr>
        <w:t>Harv</w:t>
      </w:r>
      <w:r w:rsidRPr="007041A9">
        <w:rPr>
          <w:rFonts w:ascii="Times New Roman" w:hAnsi="Times New Roman" w:cs="Times New Roman"/>
          <w:i/>
          <w:iCs/>
          <w:color w:val="222222"/>
          <w:sz w:val="24"/>
          <w:szCs w:val="24"/>
          <w:shd w:val="clear" w:color="auto" w:fill="FFFFFF"/>
        </w:rPr>
        <w:t>. CR-CLL Rev.</w:t>
      </w:r>
      <w:r w:rsidRPr="007041A9">
        <w:rPr>
          <w:rFonts w:ascii="Times New Roman" w:hAnsi="Times New Roman" w:cs="Times New Roman"/>
          <w:color w:val="222222"/>
          <w:sz w:val="24"/>
          <w:szCs w:val="24"/>
          <w:shd w:val="clear" w:color="auto" w:fill="FFFFFF"/>
        </w:rPr>
        <w:t>, </w:t>
      </w:r>
      <w:r w:rsidRPr="007041A9">
        <w:rPr>
          <w:rFonts w:ascii="Times New Roman" w:hAnsi="Times New Roman" w:cs="Times New Roman"/>
          <w:i/>
          <w:iCs/>
          <w:color w:val="222222"/>
          <w:sz w:val="24"/>
          <w:szCs w:val="24"/>
          <w:shd w:val="clear" w:color="auto" w:fill="FFFFFF"/>
        </w:rPr>
        <w:t>47</w:t>
      </w:r>
      <w:r w:rsidRPr="007041A9">
        <w:rPr>
          <w:rFonts w:ascii="Times New Roman" w:hAnsi="Times New Roman" w:cs="Times New Roman"/>
          <w:color w:val="222222"/>
          <w:sz w:val="24"/>
          <w:szCs w:val="24"/>
          <w:shd w:val="clear" w:color="auto" w:fill="FFFFFF"/>
        </w:rPr>
        <w:t>, 501.</w:t>
      </w:r>
    </w:p>
    <w:p w:rsidR="007041A9" w:rsidRPr="007041A9" w:rsidP="007041A9" w14:paraId="5691F4A5" w14:textId="77777777">
      <w:pPr>
        <w:spacing w:line="480" w:lineRule="auto"/>
        <w:ind w:left="720" w:hanging="720"/>
        <w:rPr>
          <w:rFonts w:ascii="Times New Roman" w:hAnsi="Times New Roman" w:cs="Times New Roman"/>
          <w:color w:val="222222"/>
          <w:sz w:val="24"/>
          <w:szCs w:val="24"/>
          <w:shd w:val="clear" w:color="auto" w:fill="FFFFFF"/>
        </w:rPr>
      </w:pPr>
      <w:r w:rsidRPr="007041A9">
        <w:rPr>
          <w:rFonts w:ascii="Times New Roman" w:hAnsi="Times New Roman" w:cs="Times New Roman"/>
          <w:color w:val="222222"/>
          <w:sz w:val="24"/>
          <w:szCs w:val="24"/>
          <w:shd w:val="clear" w:color="auto" w:fill="FFFFFF"/>
        </w:rPr>
        <w:t xml:space="preserve">Ley, A. J., &amp; </w:t>
      </w:r>
      <w:r w:rsidRPr="007041A9">
        <w:rPr>
          <w:rFonts w:ascii="Times New Roman" w:hAnsi="Times New Roman" w:cs="Times New Roman"/>
          <w:color w:val="222222"/>
          <w:sz w:val="24"/>
          <w:szCs w:val="24"/>
          <w:shd w:val="clear" w:color="auto" w:fill="FFFFFF"/>
        </w:rPr>
        <w:t>Verhovek</w:t>
      </w:r>
      <w:r w:rsidRPr="007041A9">
        <w:rPr>
          <w:rFonts w:ascii="Times New Roman" w:hAnsi="Times New Roman" w:cs="Times New Roman"/>
          <w:color w:val="222222"/>
          <w:sz w:val="24"/>
          <w:szCs w:val="24"/>
          <w:shd w:val="clear" w:color="auto" w:fill="FFFFFF"/>
        </w:rPr>
        <w:t>, G. (2014). The Political Foundations of Miranda v. Arizona and the Quarles Public Safety Exception. </w:t>
      </w:r>
      <w:r w:rsidRPr="007041A9">
        <w:rPr>
          <w:rFonts w:ascii="Times New Roman" w:hAnsi="Times New Roman" w:cs="Times New Roman"/>
          <w:i/>
          <w:iCs/>
          <w:color w:val="222222"/>
          <w:sz w:val="24"/>
          <w:szCs w:val="24"/>
          <w:shd w:val="clear" w:color="auto" w:fill="FFFFFF"/>
        </w:rPr>
        <w:t>Berkeley J. Crim. L.</w:t>
      </w:r>
      <w:r w:rsidRPr="007041A9">
        <w:rPr>
          <w:rFonts w:ascii="Times New Roman" w:hAnsi="Times New Roman" w:cs="Times New Roman"/>
          <w:color w:val="222222"/>
          <w:sz w:val="24"/>
          <w:szCs w:val="24"/>
          <w:shd w:val="clear" w:color="auto" w:fill="FFFFFF"/>
        </w:rPr>
        <w:t>, </w:t>
      </w:r>
      <w:r w:rsidRPr="007041A9">
        <w:rPr>
          <w:rFonts w:ascii="Times New Roman" w:hAnsi="Times New Roman" w:cs="Times New Roman"/>
          <w:i/>
          <w:iCs/>
          <w:color w:val="222222"/>
          <w:sz w:val="24"/>
          <w:szCs w:val="24"/>
          <w:shd w:val="clear" w:color="auto" w:fill="FFFFFF"/>
        </w:rPr>
        <w:t>19</w:t>
      </w:r>
      <w:r w:rsidRPr="007041A9">
        <w:rPr>
          <w:rFonts w:ascii="Times New Roman" w:hAnsi="Times New Roman" w:cs="Times New Roman"/>
          <w:color w:val="222222"/>
          <w:sz w:val="24"/>
          <w:szCs w:val="24"/>
          <w:shd w:val="clear" w:color="auto" w:fill="FFFFFF"/>
        </w:rPr>
        <w:t>, 206.</w:t>
      </w:r>
    </w:p>
    <w:p w:rsidR="007041A9" w:rsidRPr="007041A9" w:rsidP="007041A9" w14:paraId="386339BB" w14:textId="77777777">
      <w:pPr>
        <w:spacing w:line="480" w:lineRule="auto"/>
        <w:ind w:left="720" w:hanging="720"/>
        <w:rPr>
          <w:rFonts w:ascii="Times New Roman" w:hAnsi="Times New Roman" w:cs="Times New Roman"/>
          <w:color w:val="222222"/>
          <w:sz w:val="24"/>
          <w:szCs w:val="24"/>
          <w:shd w:val="clear" w:color="auto" w:fill="FFFFFF"/>
        </w:rPr>
      </w:pPr>
      <w:r w:rsidRPr="007041A9">
        <w:rPr>
          <w:rFonts w:ascii="Times New Roman" w:hAnsi="Times New Roman" w:cs="Times New Roman"/>
          <w:color w:val="222222"/>
          <w:sz w:val="24"/>
          <w:szCs w:val="24"/>
          <w:shd w:val="clear" w:color="auto" w:fill="FFFFFF"/>
        </w:rPr>
        <w:t>Maclin, T. (2015). A comprehensive analysis of the history of interrogation law, with some shots directed at Miranda v. Arizona.</w:t>
      </w:r>
    </w:p>
    <w:p w:rsidR="007041A9" w:rsidRPr="007041A9" w:rsidP="007041A9" w14:paraId="51AA81F7" w14:textId="131CC19C">
      <w:pPr>
        <w:spacing w:line="480" w:lineRule="auto"/>
        <w:ind w:left="720" w:hanging="720"/>
        <w:rPr>
          <w:rFonts w:ascii="Times New Roman" w:hAnsi="Times New Roman" w:cs="Times New Roman"/>
          <w:color w:val="222222"/>
          <w:sz w:val="24"/>
          <w:szCs w:val="24"/>
          <w:shd w:val="clear" w:color="auto" w:fill="FFFFFF"/>
        </w:rPr>
      </w:pPr>
      <w:r w:rsidRPr="007041A9">
        <w:rPr>
          <w:rFonts w:ascii="Times New Roman" w:hAnsi="Times New Roman" w:cs="Times New Roman"/>
          <w:color w:val="222222"/>
          <w:sz w:val="24"/>
          <w:szCs w:val="24"/>
          <w:shd w:val="clear" w:color="auto" w:fill="FFFFFF"/>
        </w:rPr>
        <w:t xml:space="preserve">Rogers, R., Blackwood, H. L., Fiduccia, C. E., </w:t>
      </w:r>
      <w:r w:rsidRPr="007041A9">
        <w:rPr>
          <w:rFonts w:ascii="Times New Roman" w:hAnsi="Times New Roman" w:cs="Times New Roman"/>
          <w:color w:val="222222"/>
          <w:sz w:val="24"/>
          <w:szCs w:val="24"/>
          <w:shd w:val="clear" w:color="auto" w:fill="FFFFFF"/>
        </w:rPr>
        <w:t>Steadham</w:t>
      </w:r>
      <w:r w:rsidRPr="007041A9">
        <w:rPr>
          <w:rFonts w:ascii="Times New Roman" w:hAnsi="Times New Roman" w:cs="Times New Roman"/>
          <w:color w:val="222222"/>
          <w:sz w:val="24"/>
          <w:szCs w:val="24"/>
          <w:shd w:val="clear" w:color="auto" w:fill="FFFFFF"/>
        </w:rPr>
        <w:t xml:space="preserve">, J. A., </w:t>
      </w:r>
      <w:r w:rsidRPr="007041A9">
        <w:rPr>
          <w:rFonts w:ascii="Times New Roman" w:hAnsi="Times New Roman" w:cs="Times New Roman"/>
          <w:color w:val="222222"/>
          <w:sz w:val="24"/>
          <w:szCs w:val="24"/>
          <w:shd w:val="clear" w:color="auto" w:fill="FFFFFF"/>
        </w:rPr>
        <w:t>Drogin</w:t>
      </w:r>
      <w:r w:rsidRPr="007041A9">
        <w:rPr>
          <w:rFonts w:ascii="Times New Roman" w:hAnsi="Times New Roman" w:cs="Times New Roman"/>
          <w:color w:val="222222"/>
          <w:sz w:val="24"/>
          <w:szCs w:val="24"/>
          <w:shd w:val="clear" w:color="auto" w:fill="FFFFFF"/>
        </w:rPr>
        <w:t xml:space="preserve">, E. Y., &amp; </w:t>
      </w:r>
      <w:r w:rsidRPr="007041A9">
        <w:rPr>
          <w:rFonts w:ascii="Times New Roman" w:hAnsi="Times New Roman" w:cs="Times New Roman"/>
          <w:color w:val="222222"/>
          <w:sz w:val="24"/>
          <w:szCs w:val="24"/>
          <w:shd w:val="clear" w:color="auto" w:fill="FFFFFF"/>
        </w:rPr>
        <w:t>Rogstad</w:t>
      </w:r>
      <w:r w:rsidRPr="007041A9">
        <w:rPr>
          <w:rFonts w:ascii="Times New Roman" w:hAnsi="Times New Roman" w:cs="Times New Roman"/>
          <w:color w:val="222222"/>
          <w:sz w:val="24"/>
          <w:szCs w:val="24"/>
          <w:shd w:val="clear" w:color="auto" w:fill="FFFFFF"/>
        </w:rPr>
        <w:t xml:space="preserve">, J. E. (2012). Juvenile Miranda warnings: Perfunctory rituals or procedural </w:t>
      </w:r>
      <w:r w:rsidRPr="007041A9" w:rsidR="001B5443">
        <w:rPr>
          <w:rFonts w:ascii="Times New Roman" w:hAnsi="Times New Roman" w:cs="Times New Roman"/>
          <w:color w:val="222222"/>
          <w:sz w:val="24"/>
          <w:szCs w:val="24"/>
          <w:shd w:val="clear" w:color="auto" w:fill="FFFFFF"/>
        </w:rPr>
        <w:t>safeguards?</w:t>
      </w:r>
      <w:r w:rsidRPr="007041A9">
        <w:rPr>
          <w:rFonts w:ascii="Times New Roman" w:hAnsi="Times New Roman" w:cs="Times New Roman"/>
          <w:color w:val="222222"/>
          <w:sz w:val="24"/>
          <w:szCs w:val="24"/>
          <w:shd w:val="clear" w:color="auto" w:fill="FFFFFF"/>
        </w:rPr>
        <w:t> </w:t>
      </w:r>
      <w:r w:rsidRPr="007041A9">
        <w:rPr>
          <w:rFonts w:ascii="Times New Roman" w:hAnsi="Times New Roman" w:cs="Times New Roman"/>
          <w:i/>
          <w:iCs/>
          <w:color w:val="222222"/>
          <w:sz w:val="24"/>
          <w:szCs w:val="24"/>
          <w:shd w:val="clear" w:color="auto" w:fill="FFFFFF"/>
        </w:rPr>
        <w:t xml:space="preserve">Criminal Justice and </w:t>
      </w:r>
      <w:r w:rsidRPr="007041A9">
        <w:rPr>
          <w:rFonts w:ascii="Times New Roman" w:hAnsi="Times New Roman" w:cs="Times New Roman"/>
          <w:i/>
          <w:iCs/>
          <w:color w:val="222222"/>
          <w:sz w:val="24"/>
          <w:szCs w:val="24"/>
          <w:shd w:val="clear" w:color="auto" w:fill="FFFFFF"/>
        </w:rPr>
        <w:t>Behavior</w:t>
      </w:r>
      <w:r w:rsidRPr="007041A9">
        <w:rPr>
          <w:rFonts w:ascii="Times New Roman" w:hAnsi="Times New Roman" w:cs="Times New Roman"/>
          <w:color w:val="222222"/>
          <w:sz w:val="24"/>
          <w:szCs w:val="24"/>
          <w:shd w:val="clear" w:color="auto" w:fill="FFFFFF"/>
        </w:rPr>
        <w:t>, </w:t>
      </w:r>
      <w:r w:rsidRPr="007041A9">
        <w:rPr>
          <w:rFonts w:ascii="Times New Roman" w:hAnsi="Times New Roman" w:cs="Times New Roman"/>
          <w:i/>
          <w:iCs/>
          <w:color w:val="222222"/>
          <w:sz w:val="24"/>
          <w:szCs w:val="24"/>
          <w:shd w:val="clear" w:color="auto" w:fill="FFFFFF"/>
        </w:rPr>
        <w:t>39</w:t>
      </w:r>
      <w:r w:rsidRPr="007041A9">
        <w:rPr>
          <w:rFonts w:ascii="Times New Roman" w:hAnsi="Times New Roman" w:cs="Times New Roman"/>
          <w:color w:val="222222"/>
          <w:sz w:val="24"/>
          <w:szCs w:val="24"/>
          <w:shd w:val="clear" w:color="auto" w:fill="FFFFFF"/>
        </w:rPr>
        <w:t>(3), 229-249.</w:t>
      </w:r>
    </w:p>
    <w:sectPr w:rsidSect="007041A9">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1A9" w14:paraId="38F7192F" w14:textId="22B10EF3">
    <w:pPr>
      <w:pStyle w:val="Header"/>
    </w:pPr>
    <w:r w:rsidRPr="007041A9">
      <w:rPr>
        <w:rFonts w:ascii="Times New Roman" w:hAnsi="Times New Roman" w:cs="Times New Roman"/>
        <w:sz w:val="24"/>
        <w:szCs w:val="24"/>
      </w:rPr>
      <w:t>SUPREME COURT LANDMARK CASES</w:t>
    </w:r>
    <w:r>
      <w:t xml:space="preserve"> </w:t>
    </w:r>
    <w:r>
      <w:rPr>
        <w:rFonts w:ascii="Times New Roman" w:hAnsi="Times New Roman" w:cs="Times New Roman"/>
        <w:sz w:val="24"/>
        <w:szCs w:val="24"/>
      </w:rPr>
      <w:tab/>
    </w:r>
    <w:r>
      <w:rPr>
        <w:rFonts w:ascii="Times New Roman" w:hAnsi="Times New Roman" w:cs="Times New Roman"/>
        <w:sz w:val="24"/>
        <w:szCs w:val="24"/>
      </w:rPr>
      <w:tab/>
    </w:r>
    <w:r>
      <w:fldChar w:fldCharType="begin"/>
    </w:r>
    <w:r>
      <w:instrText xml:space="preserve"> PAGE   \* MERGEFORMAT </w:instrText>
    </w:r>
    <w:r>
      <w:fldChar w:fldCharType="separate"/>
    </w:r>
    <w:r w:rsidR="00AE23C3">
      <w:rPr>
        <w:noProof/>
      </w:rPr>
      <w:t>3</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041A9" w:rsidRPr="007041A9" w14:paraId="50B73DDD" w14:textId="4F79F783">
    <w:pPr>
      <w:pStyle w:val="Header"/>
      <w:rPr>
        <w:rFonts w:ascii="Times New Roman" w:hAnsi="Times New Roman" w:cs="Times New Roman"/>
        <w:sz w:val="24"/>
        <w:szCs w:val="24"/>
      </w:rPr>
    </w:pPr>
    <w:r w:rsidRPr="007041A9">
      <w:rPr>
        <w:rFonts w:ascii="Times New Roman" w:hAnsi="Times New Roman" w:cs="Times New Roman"/>
        <w:sz w:val="24"/>
        <w:szCs w:val="24"/>
      </w:rPr>
      <w:t>Running head: SUPREME COURT LANDMARK CASES</w:t>
    </w:r>
    <w:r>
      <w:rPr>
        <w:rFonts w:ascii="Times New Roman" w:hAnsi="Times New Roman" w:cs="Times New Roman"/>
        <w:sz w:val="24"/>
        <w:szCs w:val="24"/>
      </w:rPr>
      <w:tab/>
    </w:r>
    <w:r w:rsidRPr="007041A9">
      <w:rPr>
        <w:rFonts w:ascii="Times New Roman" w:hAnsi="Times New Roman" w:cs="Times New Roman"/>
        <w:sz w:val="24"/>
        <w:szCs w:val="24"/>
      </w:rPr>
      <w:fldChar w:fldCharType="begin"/>
    </w:r>
    <w:r w:rsidRPr="007041A9">
      <w:rPr>
        <w:rFonts w:ascii="Times New Roman" w:hAnsi="Times New Roman" w:cs="Times New Roman"/>
        <w:sz w:val="24"/>
        <w:szCs w:val="24"/>
      </w:rPr>
      <w:instrText xml:space="preserve"> PAGE   \* MERGEFORMAT </w:instrText>
    </w:r>
    <w:r w:rsidRPr="007041A9">
      <w:rPr>
        <w:rFonts w:ascii="Times New Roman" w:hAnsi="Times New Roman" w:cs="Times New Roman"/>
        <w:sz w:val="24"/>
        <w:szCs w:val="24"/>
      </w:rPr>
      <w:fldChar w:fldCharType="separate"/>
    </w:r>
    <w:r w:rsidR="00007346">
      <w:rPr>
        <w:rFonts w:ascii="Times New Roman" w:hAnsi="Times New Roman" w:cs="Times New Roman"/>
        <w:noProof/>
        <w:sz w:val="24"/>
        <w:szCs w:val="24"/>
      </w:rPr>
      <w:t>1</w:t>
    </w:r>
    <w:r w:rsidRPr="007041A9">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640F"/>
    <w:rsid w:val="00007346"/>
    <w:rsid w:val="001B5443"/>
    <w:rsid w:val="003316B1"/>
    <w:rsid w:val="00373146"/>
    <w:rsid w:val="00417C0C"/>
    <w:rsid w:val="00487335"/>
    <w:rsid w:val="00531309"/>
    <w:rsid w:val="00545890"/>
    <w:rsid w:val="006D2B48"/>
    <w:rsid w:val="006D4859"/>
    <w:rsid w:val="007041A9"/>
    <w:rsid w:val="00774138"/>
    <w:rsid w:val="007A640F"/>
    <w:rsid w:val="007C220B"/>
    <w:rsid w:val="00830B81"/>
    <w:rsid w:val="00853413"/>
    <w:rsid w:val="00AE23C3"/>
    <w:rsid w:val="00AE363F"/>
    <w:rsid w:val="00B875BA"/>
    <w:rsid w:val="00C9658C"/>
    <w:rsid w:val="00DA3677"/>
    <w:rsid w:val="00F62E8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041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7041A9"/>
    <w:rPr>
      <w:lang w:val="en-GB"/>
    </w:rPr>
  </w:style>
  <w:style w:type="paragraph" w:styleId="Footer">
    <w:name w:val="footer"/>
    <w:basedOn w:val="Normal"/>
    <w:link w:val="FooterChar"/>
    <w:uiPriority w:val="99"/>
    <w:unhideWhenUsed/>
    <w:rsid w:val="007041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7041A9"/>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5</Pages>
  <Words>947</Words>
  <Characters>5400</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4</cp:revision>
  <dcterms:created xsi:type="dcterms:W3CDTF">2019-05-27T05:59:00Z</dcterms:created>
  <dcterms:modified xsi:type="dcterms:W3CDTF">2019-05-27T08:56:00Z</dcterms:modified>
</cp:coreProperties>
</file>